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68EC" w14:textId="77777777" w:rsidR="00246578" w:rsidRPr="00CC6D50" w:rsidRDefault="0062757A" w:rsidP="00CC6D50">
      <w:pPr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C6D50">
        <w:rPr>
          <w:rFonts w:ascii="Arial" w:eastAsia="Times New Roman" w:hAnsi="Arial" w:cs="Arial"/>
          <w:b/>
          <w:sz w:val="28"/>
          <w:szCs w:val="28"/>
          <w:lang w:eastAsia="pl-PL"/>
        </w:rPr>
        <w:t>Zasady rekrutacji do Branżowej Szkoły II stopnia:</w:t>
      </w:r>
    </w:p>
    <w:p w14:paraId="52631527" w14:textId="3BE39FD0" w:rsidR="00263E47" w:rsidRPr="00CC6D50" w:rsidRDefault="0062757A" w:rsidP="00CC6D50">
      <w:pPr>
        <w:pStyle w:val="NormalnyWeb"/>
        <w:shd w:val="clear" w:color="auto" w:fill="FFFFFF"/>
        <w:spacing w:after="240"/>
        <w:rPr>
          <w:rFonts w:ascii="Arial" w:hAnsi="Arial" w:cs="Arial"/>
          <w:sz w:val="28"/>
          <w:szCs w:val="28"/>
        </w:rPr>
      </w:pPr>
      <w:r w:rsidRPr="00CC6D50">
        <w:rPr>
          <w:rFonts w:ascii="Arial" w:hAnsi="Arial" w:cs="Arial"/>
          <w:sz w:val="28"/>
          <w:szCs w:val="28"/>
        </w:rPr>
        <w:t xml:space="preserve">Rekrutacja odbywa się w oparciu o konkurs świadectw potwierdzających ukończenie Branżowej </w:t>
      </w:r>
      <w:r w:rsidR="00CC6D50" w:rsidRPr="00CC6D50">
        <w:rPr>
          <w:rFonts w:ascii="Arial" w:hAnsi="Arial" w:cs="Arial"/>
          <w:sz w:val="28"/>
          <w:szCs w:val="28"/>
        </w:rPr>
        <w:t>Szkoły</w:t>
      </w:r>
      <w:r w:rsidRPr="00CC6D50">
        <w:rPr>
          <w:rFonts w:ascii="Arial" w:hAnsi="Arial" w:cs="Arial"/>
          <w:sz w:val="28"/>
          <w:szCs w:val="28"/>
        </w:rPr>
        <w:t xml:space="preserve"> I stopni</w:t>
      </w:r>
      <w:r w:rsidR="00992124" w:rsidRPr="00CC6D50">
        <w:rPr>
          <w:rFonts w:ascii="Arial" w:hAnsi="Arial" w:cs="Arial"/>
          <w:sz w:val="28"/>
          <w:szCs w:val="28"/>
        </w:rPr>
        <w:t xml:space="preserve">a. Naukę mogą podjąć </w:t>
      </w:r>
      <w:r w:rsidR="00992124" w:rsidRPr="00CC6D50">
        <w:rPr>
          <w:rFonts w:ascii="Arial" w:hAnsi="Arial" w:cs="Arial"/>
          <w:b/>
          <w:bCs/>
          <w:sz w:val="28"/>
          <w:szCs w:val="28"/>
        </w:rPr>
        <w:t>WYŁĄCZNIE</w:t>
      </w:r>
      <w:r w:rsidR="00992124" w:rsidRPr="00CC6D50">
        <w:rPr>
          <w:rFonts w:ascii="Arial" w:hAnsi="Arial" w:cs="Arial"/>
          <w:sz w:val="28"/>
          <w:szCs w:val="28"/>
        </w:rPr>
        <w:t xml:space="preserve"> a</w:t>
      </w:r>
      <w:r w:rsidRPr="00CC6D50">
        <w:rPr>
          <w:rFonts w:ascii="Arial" w:hAnsi="Arial" w:cs="Arial"/>
          <w:sz w:val="28"/>
          <w:szCs w:val="28"/>
        </w:rPr>
        <w:t xml:space="preserve">bsolwenci kształcący się </w:t>
      </w:r>
      <w:r w:rsidRPr="00CC6D50">
        <w:rPr>
          <w:rFonts w:ascii="Arial" w:hAnsi="Arial" w:cs="Arial"/>
          <w:sz w:val="28"/>
          <w:szCs w:val="28"/>
        </w:rPr>
        <w:br/>
        <w:t>w zawodach mechanika pojazdów samochodowych i elektrom</w:t>
      </w:r>
      <w:r w:rsidR="00263E47" w:rsidRPr="00CC6D50">
        <w:rPr>
          <w:rFonts w:ascii="Arial" w:hAnsi="Arial" w:cs="Arial"/>
          <w:sz w:val="28"/>
          <w:szCs w:val="28"/>
        </w:rPr>
        <w:t>echanika pojazdów samochodowych, którzy ukończyli branżową szkołę I stopnia w okresie 5 lat szkolnych poprzedzających rok szkolny, na który ubiegają się o przyjęcie do publicznej branżowej szkoły II stopnia. (Dz.U.2024.737)</w:t>
      </w:r>
    </w:p>
    <w:p w14:paraId="3E2F56E7" w14:textId="77777777" w:rsidR="0062757A" w:rsidRPr="00CC6D50" w:rsidRDefault="0062757A" w:rsidP="00CC6D50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CC6D50">
        <w:rPr>
          <w:rFonts w:ascii="Arial" w:hAnsi="Arial" w:cs="Arial"/>
          <w:sz w:val="28"/>
          <w:szCs w:val="28"/>
        </w:rPr>
        <w:t>W procesie rekrutacji uwzględniane będą następujące przedmioty:</w:t>
      </w:r>
    </w:p>
    <w:p w14:paraId="3925BEAD" w14:textId="77777777" w:rsidR="0062757A" w:rsidRPr="00CC6D50" w:rsidRDefault="0062757A" w:rsidP="00CC6D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CC6D50">
        <w:rPr>
          <w:rFonts w:ascii="Arial" w:eastAsia="Times New Roman" w:hAnsi="Arial" w:cs="Arial"/>
          <w:sz w:val="28"/>
          <w:szCs w:val="28"/>
          <w:lang w:eastAsia="pl-PL"/>
        </w:rPr>
        <w:t>język polski,</w:t>
      </w:r>
    </w:p>
    <w:p w14:paraId="7810B5C1" w14:textId="77777777" w:rsidR="0062757A" w:rsidRPr="00CC6D50" w:rsidRDefault="0062757A" w:rsidP="00CC6D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CC6D50">
        <w:rPr>
          <w:rFonts w:ascii="Arial" w:eastAsia="Times New Roman" w:hAnsi="Arial" w:cs="Arial"/>
          <w:sz w:val="28"/>
          <w:szCs w:val="28"/>
          <w:lang w:eastAsia="pl-PL"/>
        </w:rPr>
        <w:t>matematyka,</w:t>
      </w:r>
    </w:p>
    <w:p w14:paraId="3419B52F" w14:textId="77777777" w:rsidR="0062757A" w:rsidRPr="00CC6D50" w:rsidRDefault="0062757A" w:rsidP="00CC6D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CC6D50">
        <w:rPr>
          <w:rFonts w:ascii="Arial" w:eastAsia="Times New Roman" w:hAnsi="Arial" w:cs="Arial"/>
          <w:sz w:val="28"/>
          <w:szCs w:val="28"/>
          <w:lang w:eastAsia="pl-PL"/>
        </w:rPr>
        <w:t>informatyka,</w:t>
      </w:r>
    </w:p>
    <w:p w14:paraId="5948A084" w14:textId="77777777" w:rsidR="0062757A" w:rsidRPr="00CC6D50" w:rsidRDefault="0062757A" w:rsidP="00CC6D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CC6D50">
        <w:rPr>
          <w:rFonts w:ascii="Arial" w:eastAsia="Times New Roman" w:hAnsi="Arial" w:cs="Arial"/>
          <w:sz w:val="28"/>
          <w:szCs w:val="28"/>
          <w:lang w:eastAsia="pl-PL"/>
        </w:rPr>
        <w:t>język obcy.</w:t>
      </w:r>
    </w:p>
    <w:p w14:paraId="5242DCFE" w14:textId="77777777" w:rsidR="002E26D9" w:rsidRPr="00CC6D50" w:rsidRDefault="0062757A" w:rsidP="00CC6D50">
      <w:pPr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CC6D5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Sposób przeliczania na punkty ocen wymienionych na świadectwie ukończenia Branżowej Szkoły I stopnia z języka polskiego, matematyki i dwóch wybranych przez szkołę obowiązkowych zajęć edukacyjnych jest następujący:</w:t>
      </w:r>
      <w:r w:rsidRPr="00CC6D50">
        <w:rPr>
          <w:rFonts w:ascii="Arial" w:eastAsia="Times New Roman" w:hAnsi="Arial" w:cs="Arial"/>
          <w:sz w:val="28"/>
          <w:szCs w:val="28"/>
          <w:lang w:eastAsia="pl-PL"/>
        </w:rPr>
        <w:br/>
        <w:t>   • ocena celująca - 18 pkt.,</w:t>
      </w:r>
      <w:r w:rsidRPr="00CC6D50">
        <w:rPr>
          <w:rFonts w:ascii="Arial" w:eastAsia="Times New Roman" w:hAnsi="Arial" w:cs="Arial"/>
          <w:sz w:val="28"/>
          <w:szCs w:val="28"/>
          <w:lang w:eastAsia="pl-PL"/>
        </w:rPr>
        <w:br/>
        <w:t>   • ocena bardzo dobra - 17 pkt.,</w:t>
      </w:r>
      <w:r w:rsidRPr="00CC6D50">
        <w:rPr>
          <w:rFonts w:ascii="Arial" w:eastAsia="Times New Roman" w:hAnsi="Arial" w:cs="Arial"/>
          <w:sz w:val="28"/>
          <w:szCs w:val="28"/>
          <w:lang w:eastAsia="pl-PL"/>
        </w:rPr>
        <w:br/>
        <w:t>   • ocena dobra - 14 pkt.,</w:t>
      </w:r>
      <w:r w:rsidRPr="00CC6D50">
        <w:rPr>
          <w:rFonts w:ascii="Arial" w:eastAsia="Times New Roman" w:hAnsi="Arial" w:cs="Arial"/>
          <w:sz w:val="28"/>
          <w:szCs w:val="28"/>
          <w:lang w:eastAsia="pl-PL"/>
        </w:rPr>
        <w:br/>
        <w:t>   • ocena dostateczna - 8 pkt.,</w:t>
      </w:r>
      <w:r w:rsidRPr="00CC6D50">
        <w:rPr>
          <w:rFonts w:ascii="Arial" w:eastAsia="Times New Roman" w:hAnsi="Arial" w:cs="Arial"/>
          <w:sz w:val="28"/>
          <w:szCs w:val="28"/>
          <w:lang w:eastAsia="pl-PL"/>
        </w:rPr>
        <w:br/>
        <w:t>   • ocena dopuszczająca - 2 pkt.,</w:t>
      </w:r>
      <w:r w:rsidRPr="00CC6D50">
        <w:rPr>
          <w:rFonts w:ascii="Arial" w:eastAsia="Times New Roman" w:hAnsi="Arial" w:cs="Arial"/>
          <w:sz w:val="28"/>
          <w:szCs w:val="28"/>
          <w:lang w:eastAsia="pl-PL"/>
        </w:rPr>
        <w:br/>
        <w:t>   • świadectwo ukończenia szkoły z wyróżnieniem </w:t>
      </w:r>
      <w:r w:rsidRPr="00CC6D5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- 7 punktów,</w:t>
      </w:r>
      <w:r w:rsidR="002E26D9" w:rsidRPr="00CC6D50"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</w:r>
    </w:p>
    <w:p w14:paraId="6A24CB78" w14:textId="4B80935D" w:rsidR="0062757A" w:rsidRPr="00CC6D50" w:rsidRDefault="002E26D9" w:rsidP="00CC6D50">
      <w:pPr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CC6D50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W przypadku, </w:t>
      </w:r>
      <w:r w:rsidR="00CC6D50" w:rsidRPr="00CC6D50">
        <w:rPr>
          <w:rFonts w:ascii="Arial" w:eastAsia="Times New Roman" w:hAnsi="Arial" w:cs="Arial"/>
          <w:bCs/>
          <w:sz w:val="28"/>
          <w:szCs w:val="28"/>
          <w:lang w:eastAsia="pl-PL"/>
        </w:rPr>
        <w:t>gdy</w:t>
      </w:r>
      <w:r w:rsidRPr="00CC6D50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liczba kandydatów przekroczy </w:t>
      </w:r>
      <w:r w:rsidR="00CC6D50" w:rsidRPr="00CC6D50">
        <w:rPr>
          <w:rFonts w:ascii="Arial" w:eastAsia="Times New Roman" w:hAnsi="Arial" w:cs="Arial"/>
          <w:bCs/>
          <w:sz w:val="28"/>
          <w:szCs w:val="28"/>
          <w:lang w:eastAsia="pl-PL"/>
        </w:rPr>
        <w:t>ustalony</w:t>
      </w:r>
      <w:r w:rsidRPr="00CC6D50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</w:t>
      </w:r>
      <w:r w:rsidR="00CC6D50" w:rsidRPr="00CC6D50">
        <w:rPr>
          <w:rFonts w:ascii="Arial" w:eastAsia="Times New Roman" w:hAnsi="Arial" w:cs="Arial"/>
          <w:bCs/>
          <w:sz w:val="28"/>
          <w:szCs w:val="28"/>
          <w:lang w:eastAsia="pl-PL"/>
        </w:rPr>
        <w:t>limit miejsc</w:t>
      </w:r>
      <w:r w:rsidRPr="00CC6D50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, o wyborze kandydatów będą decydować kryteria wynikające ze </w:t>
      </w:r>
      <w:r w:rsidR="00CC6D50" w:rsidRPr="00CC6D50">
        <w:rPr>
          <w:rFonts w:ascii="Arial" w:eastAsia="Times New Roman" w:hAnsi="Arial" w:cs="Arial"/>
          <w:bCs/>
          <w:sz w:val="28"/>
          <w:szCs w:val="28"/>
          <w:lang w:eastAsia="pl-PL"/>
        </w:rPr>
        <w:t>stosownych</w:t>
      </w:r>
      <w:r w:rsidRPr="00CC6D50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przepisów.</w:t>
      </w:r>
    </w:p>
    <w:p w14:paraId="209EBA93" w14:textId="77777777" w:rsidR="00263E47" w:rsidRPr="00CC6D50" w:rsidRDefault="00263E47" w:rsidP="00CC6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B"/>
          <w:sz w:val="28"/>
          <w:szCs w:val="28"/>
          <w:lang w:eastAsia="pl-PL"/>
        </w:rPr>
      </w:pPr>
      <w:r w:rsidRPr="00CC6D5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Podstawa prawna:</w:t>
      </w:r>
    </w:p>
    <w:p w14:paraId="0468562C" w14:textId="5E0686D6" w:rsidR="00263E47" w:rsidRPr="00CC6D50" w:rsidRDefault="00263E47" w:rsidP="00CC6D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C3C3B"/>
          <w:sz w:val="28"/>
          <w:szCs w:val="28"/>
          <w:lang w:eastAsia="pl-PL"/>
        </w:rPr>
      </w:pPr>
      <w:r w:rsidRPr="00CC6D50">
        <w:rPr>
          <w:rFonts w:ascii="Arial" w:eastAsia="Times New Roman" w:hAnsi="Arial" w:cs="Arial"/>
          <w:color w:val="3C3C3B"/>
          <w:sz w:val="28"/>
          <w:szCs w:val="28"/>
          <w:shd w:val="clear" w:color="auto" w:fill="FFFFFF"/>
          <w:lang w:eastAsia="pl-PL"/>
        </w:rPr>
        <w:t>Ustawa z dnia 14 grudnia 2016 r. Prawo oświatowe (</w:t>
      </w:r>
      <w:r w:rsidR="00CC6D50" w:rsidRPr="00CC6D50">
        <w:rPr>
          <w:rFonts w:ascii="Arial" w:eastAsia="Times New Roman" w:hAnsi="Arial" w:cs="Arial"/>
          <w:color w:val="3C3C3B"/>
          <w:sz w:val="28"/>
          <w:szCs w:val="28"/>
          <w:shd w:val="clear" w:color="auto" w:fill="FFFFFF"/>
          <w:lang w:eastAsia="pl-PL"/>
        </w:rPr>
        <w:t>tj.</w:t>
      </w:r>
      <w:r w:rsidRPr="00CC6D50">
        <w:rPr>
          <w:rFonts w:ascii="Arial" w:eastAsia="Times New Roman" w:hAnsi="Arial" w:cs="Arial"/>
          <w:color w:val="3C3C3B"/>
          <w:sz w:val="28"/>
          <w:szCs w:val="28"/>
          <w:shd w:val="clear" w:color="auto" w:fill="FFFFFF"/>
          <w:lang w:eastAsia="pl-PL"/>
        </w:rPr>
        <w:t xml:space="preserve"> Dz. U. z 2021 r. poz. 1082 z późn. </w:t>
      </w:r>
      <w:proofErr w:type="spellStart"/>
      <w:r w:rsidRPr="00CC6D50">
        <w:rPr>
          <w:rFonts w:ascii="Arial" w:eastAsia="Times New Roman" w:hAnsi="Arial" w:cs="Arial"/>
          <w:color w:val="3C3C3B"/>
          <w:sz w:val="28"/>
          <w:szCs w:val="28"/>
          <w:shd w:val="clear" w:color="auto" w:fill="FFFFFF"/>
          <w:lang w:eastAsia="pl-PL"/>
        </w:rPr>
        <w:t>zm</w:t>
      </w:r>
      <w:proofErr w:type="spellEnd"/>
      <w:r w:rsidRPr="00CC6D50">
        <w:rPr>
          <w:rFonts w:ascii="Arial" w:eastAsia="Times New Roman" w:hAnsi="Arial" w:cs="Arial"/>
          <w:color w:val="3C3C3B"/>
          <w:sz w:val="28"/>
          <w:szCs w:val="28"/>
          <w:shd w:val="clear" w:color="auto" w:fill="FFFFFF"/>
          <w:lang w:eastAsia="pl-PL"/>
        </w:rPr>
        <w:t>)</w:t>
      </w:r>
    </w:p>
    <w:p w14:paraId="31BE9560" w14:textId="460A1C48" w:rsidR="00263E47" w:rsidRPr="00CC6D50" w:rsidRDefault="00263E47" w:rsidP="00CC6D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C3C3B"/>
          <w:sz w:val="28"/>
          <w:szCs w:val="28"/>
          <w:lang w:eastAsia="pl-PL"/>
        </w:rPr>
      </w:pPr>
      <w:r w:rsidRPr="00CC6D50">
        <w:rPr>
          <w:rFonts w:ascii="Arial" w:eastAsia="Times New Roman" w:hAnsi="Arial" w:cs="Arial"/>
          <w:color w:val="3C3C3B"/>
          <w:sz w:val="28"/>
          <w:szCs w:val="28"/>
          <w:shd w:val="clear" w:color="auto" w:fill="FFFFFF"/>
          <w:lang w:eastAsia="pl-PL"/>
        </w:rPr>
        <w:t>Rozporządzenie Ministra Edukacji Narodowej z dnia 18 listopada 2022 r. w sprawie przeprowadzania postępowania rekrutacyjnego oraz postępowania uzupełniającego do publicznych przedszkoli, szkół i </w:t>
      </w:r>
      <w:r w:rsidR="00CC6D50" w:rsidRPr="00CC6D50">
        <w:rPr>
          <w:rFonts w:ascii="Arial" w:eastAsia="Times New Roman" w:hAnsi="Arial" w:cs="Arial"/>
          <w:color w:val="3C3C3B"/>
          <w:sz w:val="28"/>
          <w:szCs w:val="28"/>
          <w:shd w:val="clear" w:color="auto" w:fill="FFFFFF"/>
          <w:lang w:eastAsia="pl-PL"/>
        </w:rPr>
        <w:t>placówek (</w:t>
      </w:r>
      <w:r w:rsidRPr="00CC6D50">
        <w:rPr>
          <w:rFonts w:ascii="Arial" w:eastAsia="Times New Roman" w:hAnsi="Arial" w:cs="Arial"/>
          <w:color w:val="3C3C3B"/>
          <w:sz w:val="28"/>
          <w:szCs w:val="28"/>
          <w:shd w:val="clear" w:color="auto" w:fill="FFFFFF"/>
          <w:lang w:eastAsia="pl-PL"/>
        </w:rPr>
        <w:t>Dz. U. poz. 2431)</w:t>
      </w:r>
    </w:p>
    <w:p w14:paraId="777550F9" w14:textId="77777777" w:rsidR="00263E47" w:rsidRDefault="00263E47"/>
    <w:sectPr w:rsidR="00263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2A83"/>
    <w:multiLevelType w:val="multilevel"/>
    <w:tmpl w:val="19DA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22B20"/>
    <w:multiLevelType w:val="multilevel"/>
    <w:tmpl w:val="53EC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3795981">
    <w:abstractNumId w:val="0"/>
  </w:num>
  <w:num w:numId="2" w16cid:durableId="432556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7A"/>
    <w:rsid w:val="00246578"/>
    <w:rsid w:val="00263E47"/>
    <w:rsid w:val="002E26D9"/>
    <w:rsid w:val="0062757A"/>
    <w:rsid w:val="00992124"/>
    <w:rsid w:val="00CC6D50"/>
    <w:rsid w:val="00F1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6D5F"/>
  <w15:docId w15:val="{EA64E2C8-1663-40D4-A6F7-C395698C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2757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2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ZSP7</dc:creator>
  <cp:lastModifiedBy>Sylwester Kosiec</cp:lastModifiedBy>
  <cp:revision>2</cp:revision>
  <dcterms:created xsi:type="dcterms:W3CDTF">2025-03-24T10:11:00Z</dcterms:created>
  <dcterms:modified xsi:type="dcterms:W3CDTF">2025-03-24T10:11:00Z</dcterms:modified>
</cp:coreProperties>
</file>